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E3D2F" w14:textId="77777777" w:rsidR="00C9403D" w:rsidRDefault="00B070EE">
      <w:pPr>
        <w:spacing w:after="54" w:line="265" w:lineRule="auto"/>
        <w:ind w:left="711" w:right="474" w:hanging="10"/>
        <w:jc w:val="center"/>
      </w:pPr>
      <w:r>
        <w:rPr>
          <w:b/>
        </w:rPr>
        <w:t>T.C.</w:t>
      </w:r>
    </w:p>
    <w:p w14:paraId="5EEE19C0" w14:textId="0B7AB9E9" w:rsidR="00C9403D" w:rsidRDefault="00176D17">
      <w:pPr>
        <w:spacing w:after="414" w:line="265" w:lineRule="auto"/>
        <w:ind w:left="711" w:hanging="10"/>
        <w:jc w:val="center"/>
      </w:pPr>
      <w:r>
        <w:rPr>
          <w:b/>
        </w:rPr>
        <w:t>ANKARA</w:t>
      </w:r>
      <w:r w:rsidR="00B070EE">
        <w:rPr>
          <w:b/>
        </w:rPr>
        <w:t xml:space="preserve"> VERGİ MAHKEMESİ'NE</w:t>
      </w:r>
    </w:p>
    <w:p w14:paraId="6F5EC73E" w14:textId="77777777" w:rsidR="00C9403D" w:rsidRDefault="00B070EE">
      <w:pPr>
        <w:spacing w:after="420" w:line="259" w:lineRule="auto"/>
        <w:ind w:left="0" w:right="6" w:firstLine="0"/>
        <w:jc w:val="righ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63F4E2D" wp14:editId="75A700FE">
                <wp:simplePos x="0" y="0"/>
                <wp:positionH relativeFrom="column">
                  <wp:posOffset>2628900</wp:posOffset>
                </wp:positionH>
                <wp:positionV relativeFrom="paragraph">
                  <wp:posOffset>-74624</wp:posOffset>
                </wp:positionV>
                <wp:extent cx="3352800" cy="228600"/>
                <wp:effectExtent l="0" t="0" r="0" b="0"/>
                <wp:wrapNone/>
                <wp:docPr id="14613" name="Group 14613"/>
                <wp:cNvGraphicFramePr/>
                <a:graphic xmlns:a="http://schemas.openxmlformats.org/drawingml/2006/main">
                  <a:graphicData uri="http://schemas.microsoft.com/office/word/2010/wordprocessingGroup">
                    <wpg:wgp>
                      <wpg:cNvGrpSpPr/>
                      <wpg:grpSpPr>
                        <a:xfrm>
                          <a:off x="0" y="0"/>
                          <a:ext cx="3352800" cy="228600"/>
                          <a:chOff x="0" y="0"/>
                          <a:chExt cx="3352800" cy="228600"/>
                        </a:xfrm>
                      </wpg:grpSpPr>
                      <wps:wsp>
                        <wps:cNvPr id="22" name="Shape 22"/>
                        <wps:cNvSpPr/>
                        <wps:spPr>
                          <a:xfrm>
                            <a:off x="596900" y="0"/>
                            <a:ext cx="0" cy="0"/>
                          </a:xfrm>
                          <a:custGeom>
                            <a:avLst/>
                            <a:gdLst/>
                            <a:ahLst/>
                            <a:cxnLst/>
                            <a:rect l="0" t="0" r="0" b="0"/>
                            <a:pathLst>
                              <a:path>
                                <a:moveTo>
                                  <a:pt x="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4" name="Shape 24"/>
                        <wps:cNvSpPr/>
                        <wps:spPr>
                          <a:xfrm>
                            <a:off x="0" y="228600"/>
                            <a:ext cx="1066800" cy="0"/>
                          </a:xfrm>
                          <a:custGeom>
                            <a:avLst/>
                            <a:gdLst/>
                            <a:ahLst/>
                            <a:cxnLst/>
                            <a:rect l="0" t="0" r="0" b="0"/>
                            <a:pathLst>
                              <a:path w="1066800">
                                <a:moveTo>
                                  <a:pt x="0" y="0"/>
                                </a:moveTo>
                                <a:lnTo>
                                  <a:pt x="1066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6" name="Shape 26"/>
                        <wps:cNvSpPr/>
                        <wps:spPr>
                          <a:xfrm>
                            <a:off x="1066800" y="2286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8" name="Shape 28"/>
                        <wps:cNvSpPr/>
                        <wps:spPr>
                          <a:xfrm>
                            <a:off x="1104900" y="228600"/>
                            <a:ext cx="1270000" cy="0"/>
                          </a:xfrm>
                          <a:custGeom>
                            <a:avLst/>
                            <a:gdLst/>
                            <a:ahLst/>
                            <a:cxnLst/>
                            <a:rect l="0" t="0" r="0" b="0"/>
                            <a:pathLst>
                              <a:path w="1270000">
                                <a:moveTo>
                                  <a:pt x="0" y="0"/>
                                </a:moveTo>
                                <a:lnTo>
                                  <a:pt x="12700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0" name="Shape 30"/>
                        <wps:cNvSpPr/>
                        <wps:spPr>
                          <a:xfrm>
                            <a:off x="2374900" y="228600"/>
                            <a:ext cx="38100" cy="0"/>
                          </a:xfrm>
                          <a:custGeom>
                            <a:avLst/>
                            <a:gdLst/>
                            <a:ahLst/>
                            <a:cxnLst/>
                            <a:rect l="0" t="0" r="0" b="0"/>
                            <a:pathLst>
                              <a:path w="38100">
                                <a:moveTo>
                                  <a:pt x="0" y="0"/>
                                </a:moveTo>
                                <a:lnTo>
                                  <a:pt x="381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32" name="Shape 32"/>
                        <wps:cNvSpPr/>
                        <wps:spPr>
                          <a:xfrm>
                            <a:off x="2413000" y="228600"/>
                            <a:ext cx="939800" cy="0"/>
                          </a:xfrm>
                          <a:custGeom>
                            <a:avLst/>
                            <a:gdLst/>
                            <a:ahLst/>
                            <a:cxnLst/>
                            <a:rect l="0" t="0" r="0" b="0"/>
                            <a:pathLst>
                              <a:path w="939800">
                                <a:moveTo>
                                  <a:pt x="0" y="0"/>
                                </a:moveTo>
                                <a:lnTo>
                                  <a:pt x="93980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613" style="width:264pt;height:18pt;position:absolute;z-index:-2147483627;mso-position-horizontal-relative:text;mso-position-horizontal:absolute;margin-left:207pt;mso-position-vertical-relative:text;margin-top:-5.87598pt;" coordsize="33528,2286">
                <v:shape id="Shape 22" style="position:absolute;width:0;height:0;left:5969;top:0;" coordsize="0,0" path="m0,0l0,0">
                  <v:stroke weight="1pt" endcap="square" joinstyle="miter" miterlimit="10" on="true" color="#000000"/>
                  <v:fill on="false" color="#000000" opacity="0"/>
                </v:shape>
                <v:shape id="Shape 24" style="position:absolute;width:10668;height:0;left:0;top:2286;" coordsize="1066800,0" path="m0,0l1066800,0">
                  <v:stroke weight="1pt" endcap="square" joinstyle="miter" miterlimit="10" on="true" color="#000000"/>
                  <v:fill on="false" color="#000000" opacity="0"/>
                </v:shape>
                <v:shape id="Shape 26" style="position:absolute;width:381;height:0;left:10668;top:2286;" coordsize="38100,0" path="m0,0l38100,0">
                  <v:stroke weight="1pt" endcap="square" joinstyle="miter" miterlimit="10" on="true" color="#000000"/>
                  <v:fill on="false" color="#000000" opacity="0"/>
                </v:shape>
                <v:shape id="Shape 28" style="position:absolute;width:12700;height:0;left:11049;top:2286;" coordsize="1270000,0" path="m0,0l1270000,0">
                  <v:stroke weight="1pt" endcap="square" joinstyle="miter" miterlimit="10" on="true" color="#000000"/>
                  <v:fill on="false" color="#000000" opacity="0"/>
                </v:shape>
                <v:shape id="Shape 30" style="position:absolute;width:381;height:0;left:23749;top:2286;" coordsize="38100,0" path="m0,0l38100,0">
                  <v:stroke weight="1pt" endcap="square" joinstyle="miter" miterlimit="10" on="true" color="#000000"/>
                  <v:fill on="false" color="#000000" opacity="0"/>
                </v:shape>
                <v:shape id="Shape 32" style="position:absolute;width:9398;height:0;left:24130;top:2286;" coordsize="939800,0" path="m0,0l939800,0">
                  <v:stroke weight="1pt" endcap="square" joinstyle="miter" miterlimit="10" on="true" color="#000000"/>
                  <v:fill on="false" color="#000000" opacity="0"/>
                </v:shape>
              </v:group>
            </w:pict>
          </mc:Fallback>
        </mc:AlternateContent>
      </w:r>
      <w:r>
        <w:rPr>
          <w:b/>
        </w:rPr>
        <w:t>YÜRÜTMENİN DURDURULMASI TALEPLİDİR.</w:t>
      </w:r>
    </w:p>
    <w:p w14:paraId="220E9654" w14:textId="77777777" w:rsidR="00C9403D" w:rsidRDefault="00B070EE">
      <w:pPr>
        <w:spacing w:after="459"/>
        <w:ind w:right="49" w:firstLine="0"/>
      </w:pPr>
      <w:r>
        <w:rPr>
          <w:b/>
        </w:rPr>
        <w:t xml:space="preserve">DAVACI </w:t>
      </w:r>
      <w:proofErr w:type="gramStart"/>
      <w:r>
        <w:rPr>
          <w:b/>
        </w:rPr>
        <w:t xml:space="preserve">  :</w:t>
      </w:r>
      <w:proofErr w:type="gramEnd"/>
      <w:r>
        <w:t xml:space="preserve"> ............................          .................. (</w:t>
      </w:r>
      <w:proofErr w:type="gramStart"/>
      <w:r>
        <w:t>TC</w:t>
      </w:r>
      <w:proofErr w:type="gramEnd"/>
      <w:r>
        <w:t xml:space="preserve"> Kimlik No. ...........................)</w:t>
      </w:r>
    </w:p>
    <w:p w14:paraId="24A9D149" w14:textId="4D9C9908" w:rsidR="00C9403D" w:rsidRDefault="00B070EE">
      <w:pPr>
        <w:spacing w:after="451" w:line="265" w:lineRule="auto"/>
        <w:ind w:left="10" w:right="46" w:hanging="10"/>
        <w:jc w:val="center"/>
      </w:pPr>
      <w:proofErr w:type="gramStart"/>
      <w:r>
        <w:rPr>
          <w:b/>
        </w:rPr>
        <w:t>DAVALI :</w:t>
      </w:r>
      <w:proofErr w:type="gramEnd"/>
      <w:r>
        <w:t xml:space="preserve"> </w:t>
      </w:r>
      <w:r w:rsidR="00176D17">
        <w:t>ANKARA</w:t>
      </w:r>
      <w:r>
        <w:t xml:space="preserve"> / </w:t>
      </w:r>
      <w:r w:rsidR="00176D17">
        <w:t>ÇANKAYA</w:t>
      </w:r>
      <w:r>
        <w:t xml:space="preserve"> BELEDİYE BAŞKANLIĞI (</w:t>
      </w:r>
      <w:r>
        <w:rPr>
          <w:b/>
        </w:rPr>
        <w:t>DETSİS</w:t>
      </w:r>
      <w:r>
        <w:t xml:space="preserve">: </w:t>
      </w:r>
      <w:r w:rsidR="00176D17">
        <w:t xml:space="preserve">                    </w:t>
      </w:r>
      <w:r>
        <w:t>)</w:t>
      </w:r>
    </w:p>
    <w:p w14:paraId="21CE9CE9" w14:textId="6C5ECC19" w:rsidR="00C9403D" w:rsidRDefault="00B070EE">
      <w:pPr>
        <w:tabs>
          <w:tab w:val="center" w:pos="1479"/>
          <w:tab w:val="right" w:pos="9506"/>
        </w:tabs>
        <w:spacing w:after="0" w:line="259" w:lineRule="auto"/>
        <w:ind w:left="0" w:firstLine="0"/>
        <w:jc w:val="left"/>
      </w:pPr>
      <w:r>
        <w:rPr>
          <w:rFonts w:ascii="Calibri" w:eastAsia="Calibri" w:hAnsi="Calibri" w:cs="Calibri"/>
          <w:sz w:val="22"/>
        </w:rPr>
        <w:tab/>
      </w:r>
      <w:r>
        <w:rPr>
          <w:b/>
        </w:rPr>
        <w:t>DAVA KONUSU</w:t>
      </w:r>
      <w:r>
        <w:rPr>
          <w:b/>
        </w:rPr>
        <w:tab/>
        <w:t>:</w:t>
      </w:r>
      <w:r>
        <w:t xml:space="preserve"> </w:t>
      </w:r>
      <w:proofErr w:type="gramStart"/>
      <w:r w:rsidR="00176D17">
        <w:t>Ankara</w:t>
      </w:r>
      <w:r>
        <w:t xml:space="preserve"> -</w:t>
      </w:r>
      <w:proofErr w:type="gramEnd"/>
      <w:r>
        <w:t xml:space="preserve"> </w:t>
      </w:r>
      <w:r w:rsidR="00176D17">
        <w:t>Çankaya</w:t>
      </w:r>
      <w:r>
        <w:t xml:space="preserve"> Belediyesi, </w:t>
      </w:r>
      <w:r w:rsidR="00176D17">
        <w:t>Çiğdem</w:t>
      </w:r>
      <w:r>
        <w:t xml:space="preserve"> Mahallesi, ...................... </w:t>
      </w:r>
    </w:p>
    <w:p w14:paraId="0E6663C0" w14:textId="1AFC1B2D" w:rsidR="00C9403D" w:rsidRDefault="00B070EE">
      <w:pPr>
        <w:spacing w:after="434"/>
        <w:ind w:left="80" w:right="49" w:firstLine="0"/>
      </w:pPr>
      <w:r>
        <w:t xml:space="preserve">.......................... Sokak için 2026 yılı emlak beyan döneminde uygulanacak "Arsalara ait Asgari Ölçüde Metrekare Birim Değer" tespitine ilişkin 29.05.2025 tarihli ve 24 sayılı </w:t>
      </w:r>
      <w:r w:rsidR="0012518A">
        <w:t>Çankaya</w:t>
      </w:r>
      <w:r>
        <w:t xml:space="preserve"> Arsa Takdir Komisyon Kararının öncelikle yürütmesinin durdurulması ve iptali talebidir.  </w:t>
      </w:r>
    </w:p>
    <w:p w14:paraId="090D6CB5" w14:textId="77777777" w:rsidR="00C9403D" w:rsidRDefault="00B070EE">
      <w:pPr>
        <w:spacing w:after="507" w:line="265" w:lineRule="auto"/>
        <w:ind w:left="930" w:hanging="10"/>
        <w:jc w:val="left"/>
      </w:pPr>
      <w:r>
        <w:rPr>
          <w:b/>
        </w:rPr>
        <w:t>ITTILA TARİHİ  :</w:t>
      </w:r>
      <w:r>
        <w:t xml:space="preserve"> .../08/2025</w:t>
      </w:r>
    </w:p>
    <w:p w14:paraId="631018D2" w14:textId="77777777" w:rsidR="00C9403D" w:rsidRDefault="00B070EE">
      <w:pPr>
        <w:spacing w:after="210" w:line="265" w:lineRule="auto"/>
        <w:ind w:left="405" w:hanging="10"/>
        <w:jc w:val="left"/>
      </w:pPr>
      <w:r>
        <w:rPr>
          <w:b/>
        </w:rPr>
        <w:t xml:space="preserve">I. </w:t>
      </w:r>
      <w:proofErr w:type="gramStart"/>
      <w:r>
        <w:rPr>
          <w:b/>
        </w:rPr>
        <w:t>AÇIKLAMALAR :</w:t>
      </w:r>
      <w:proofErr w:type="gramEnd"/>
    </w:p>
    <w:p w14:paraId="7B950B8C" w14:textId="547B6D22" w:rsidR="00C9403D" w:rsidRDefault="00B070EE">
      <w:pPr>
        <w:numPr>
          <w:ilvl w:val="0"/>
          <w:numId w:val="1"/>
        </w:numPr>
        <w:ind w:right="49"/>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2DDF8CD" wp14:editId="389E92EF">
                <wp:simplePos x="0" y="0"/>
                <wp:positionH relativeFrom="page">
                  <wp:posOffset>3761740</wp:posOffset>
                </wp:positionH>
                <wp:positionV relativeFrom="page">
                  <wp:posOffset>10288143</wp:posOffset>
                </wp:positionV>
                <wp:extent cx="36703" cy="100457"/>
                <wp:effectExtent l="0" t="0" r="0" b="0"/>
                <wp:wrapTopAndBottom/>
                <wp:docPr id="14612" name="Group 14612"/>
                <wp:cNvGraphicFramePr/>
                <a:graphic xmlns:a="http://schemas.openxmlformats.org/drawingml/2006/main">
                  <a:graphicData uri="http://schemas.microsoft.com/office/word/2010/wordprocessingGroup">
                    <wpg:wgp>
                      <wpg:cNvGrpSpPr/>
                      <wpg:grpSpPr>
                        <a:xfrm>
                          <a:off x="0" y="0"/>
                          <a:ext cx="36703" cy="100457"/>
                          <a:chOff x="0" y="0"/>
                          <a:chExt cx="36703" cy="100457"/>
                        </a:xfrm>
                      </wpg:grpSpPr>
                      <wps:wsp>
                        <wps:cNvPr id="8" name="Shape 8"/>
                        <wps:cNvSpPr/>
                        <wps:spPr>
                          <a:xfrm>
                            <a:off x="0" y="0"/>
                            <a:ext cx="36703" cy="100457"/>
                          </a:xfrm>
                          <a:custGeom>
                            <a:avLst/>
                            <a:gdLst/>
                            <a:ahLst/>
                            <a:cxnLst/>
                            <a:rect l="0" t="0" r="0" b="0"/>
                            <a:pathLst>
                              <a:path w="36703" h="100457">
                                <a:moveTo>
                                  <a:pt x="28829" y="0"/>
                                </a:moveTo>
                                <a:lnTo>
                                  <a:pt x="36703" y="0"/>
                                </a:lnTo>
                                <a:lnTo>
                                  <a:pt x="36703" y="100457"/>
                                </a:lnTo>
                                <a:lnTo>
                                  <a:pt x="24511" y="100457"/>
                                </a:lnTo>
                                <a:lnTo>
                                  <a:pt x="24511" y="22225"/>
                                </a:lnTo>
                                <a:cubicBezTo>
                                  <a:pt x="24511" y="22225"/>
                                  <a:pt x="20066" y="26416"/>
                                  <a:pt x="12954" y="30734"/>
                                </a:cubicBezTo>
                                <a:cubicBezTo>
                                  <a:pt x="12954" y="30734"/>
                                  <a:pt x="5842" y="34925"/>
                                  <a:pt x="0" y="36957"/>
                                </a:cubicBezTo>
                                <a:lnTo>
                                  <a:pt x="0" y="25019"/>
                                </a:lnTo>
                                <a:cubicBezTo>
                                  <a:pt x="0" y="25019"/>
                                  <a:pt x="10414" y="20320"/>
                                  <a:pt x="18034" y="13462"/>
                                </a:cubicBezTo>
                                <a:cubicBezTo>
                                  <a:pt x="18034" y="13462"/>
                                  <a:pt x="25654" y="6603"/>
                                  <a:pt x="28829"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612" style="width:2.88998pt;height:7.90997pt;position:absolute;mso-position-horizontal-relative:page;mso-position-horizontal:absolute;margin-left:296.2pt;mso-position-vertical-relative:page;margin-top:810.09pt;" coordsize="367,1004">
                <v:shape id="Shape 8" style="position:absolute;width:367;height:1004;left:0;top:0;" coordsize="36703,100457" path="m28829,0l36703,0l36703,100457l24511,100457l24511,22225c24511,22225,20066,26416,12954,30734c12954,30734,5842,34925,0,36957l0,25019c0,25019,10414,20320,18034,13462c18034,13462,25654,6603,28829,0x">
                  <v:stroke weight="0pt" endcap="square" joinstyle="miter" miterlimit="10" on="false" color="#000000" opacity="0"/>
                  <v:fill on="true" color="#000000"/>
                </v:shape>
                <w10:wrap type="topAndBottom"/>
              </v:group>
            </w:pict>
          </mc:Fallback>
        </mc:AlternateContent>
      </w:r>
      <w:r w:rsidR="00176D17">
        <w:t xml:space="preserve">Ankara </w:t>
      </w:r>
      <w:r>
        <w:t xml:space="preserve">ili </w:t>
      </w:r>
      <w:r w:rsidR="00176D17">
        <w:t>Çankaya</w:t>
      </w:r>
      <w:r>
        <w:t xml:space="preserve"> ilçesi </w:t>
      </w:r>
      <w:r w:rsidR="00176D17">
        <w:t>Çiğdem</w:t>
      </w:r>
      <w:r>
        <w:t xml:space="preserve"> Mahallesi ...................... .................... Sok. No. .... ............................................... </w:t>
      </w:r>
      <w:proofErr w:type="gramStart"/>
      <w:r>
        <w:t>Apt</w:t>
      </w:r>
      <w:proofErr w:type="gramEnd"/>
      <w:r>
        <w:t xml:space="preserve"> D. ... adresinde kain ve tapuda </w:t>
      </w:r>
      <w:r w:rsidR="00176D17">
        <w:t>Ankara</w:t>
      </w:r>
      <w:r>
        <w:t xml:space="preserve"> İli, </w:t>
      </w:r>
      <w:r w:rsidR="00176D17">
        <w:t>Çankaya</w:t>
      </w:r>
      <w:r>
        <w:t xml:space="preserve"> İlçesi, </w:t>
      </w:r>
      <w:r w:rsidR="00176D17">
        <w:t>Çiğdem</w:t>
      </w:r>
      <w:r>
        <w:t xml:space="preserve"> Mahallesi, ........ Ada .......... Parsel sayısında kayıtlı taşınmazın malikiyim. (EK-1: Tapu Senedi Sureti) Bu itibarla 1319 sayılı Emlak Vergisi Kanunu hükümleri uyarınca davalı idarenin de emlak vergisi mükellefiyim. </w:t>
      </w:r>
    </w:p>
    <w:p w14:paraId="1FE90335" w14:textId="77777777" w:rsidR="00C9403D" w:rsidRDefault="00B070EE">
      <w:pPr>
        <w:numPr>
          <w:ilvl w:val="0"/>
          <w:numId w:val="1"/>
        </w:numPr>
        <w:ind w:right="49"/>
      </w:pPr>
      <w:r>
        <w:t xml:space="preserve">........................... ............... Sokak için emlak vergisine esas arsa metrekare birim </w:t>
      </w:r>
      <w:proofErr w:type="gramStart"/>
      <w:r>
        <w:t>değeri</w:t>
      </w:r>
      <w:proofErr w:type="gramEnd"/>
      <w:r>
        <w:t xml:space="preserve"> 2025 yılında ................... TL iken Takdir Komisyonu'nun 29.05.2025 tarihli, 24 sayılı kararı ile ........... </w:t>
      </w:r>
      <w:proofErr w:type="gramStart"/>
      <w:r>
        <w:t>kat</w:t>
      </w:r>
      <w:proofErr w:type="gramEnd"/>
      <w:r>
        <w:t xml:space="preserve"> (yüzde ............ oranında) artırılarak ....................... TL'ye çıkarılmıştır. (EK-2: Arsalara Ait Asgari Ölçüde metrekare Birim Değer Cetveli)</w:t>
      </w:r>
    </w:p>
    <w:p w14:paraId="492CB9C8" w14:textId="77777777" w:rsidR="00C9403D" w:rsidRDefault="00B070EE">
      <w:pPr>
        <w:numPr>
          <w:ilvl w:val="0"/>
          <w:numId w:val="1"/>
        </w:numPr>
        <w:ind w:right="49"/>
      </w:pPr>
      <w:r>
        <w:t xml:space="preserve">2021 yılında yeniden tespit edilerek 2022 yılında uygulanan ........... TL arsa metrekare birim değerine göre bu artış .........  </w:t>
      </w:r>
      <w:proofErr w:type="gramStart"/>
      <w:r>
        <w:t>kata</w:t>
      </w:r>
      <w:proofErr w:type="gramEnd"/>
      <w:r>
        <w:t xml:space="preserve"> (yüzde ............ oranına) tekabül etmektedir.</w:t>
      </w:r>
    </w:p>
    <w:p w14:paraId="53E009F8" w14:textId="77777777" w:rsidR="00C9403D" w:rsidRDefault="00B070EE">
      <w:pPr>
        <w:numPr>
          <w:ilvl w:val="0"/>
          <w:numId w:val="1"/>
        </w:numPr>
        <w:ind w:right="49"/>
      </w:pPr>
      <w:r>
        <w:t xml:space="preserve">Hukuk devleti ilkesine aykırılık teşkil eder şekilde ölçülülük normlarına aykırı ve fahiş miktardaki bu artış mevcut yasal düzenlemeler ile somut olayın özelliklerine aykırı olduğundan, artışın dayanağını oluşturan idari işlemin iptali için huzurdaki davanın açılması gerekmiştir. </w:t>
      </w:r>
    </w:p>
    <w:p w14:paraId="54EB408A" w14:textId="6CA7CB79" w:rsidR="00C9403D" w:rsidRDefault="00B070EE">
      <w:pPr>
        <w:numPr>
          <w:ilvl w:val="0"/>
          <w:numId w:val="1"/>
        </w:numPr>
        <w:ind w:right="49"/>
      </w:pPr>
      <w:r>
        <w:t>Emlak Vergisi Kanunu'nun 29. maddesi uyarınca bina, arsa ve arazi birim değerleri Vergi Usul Kanunu [“VUK”]’</w:t>
      </w:r>
      <w:proofErr w:type="spellStart"/>
      <w:r>
        <w:t>nun</w:t>
      </w:r>
      <w:proofErr w:type="spellEnd"/>
      <w:r>
        <w:t xml:space="preserve"> "Emlak Vergisine ait bedel ve değerlerin tespiti, ilanı ve kesinleşmesi" başlıklı mükerrer 49. maddesinin (b) fıkrasına göre belirlenmektedir.  Anayasa Mahkemesi'nin 31 Mayıs 2012 tarihli ve 2011/38 Esas ve 2012/89 Karar sayılı iptal kararı ile bireylere de dava açma yolu açıldığından huzurdaki davayı açmakta hukuki ehliyetim mevcuttur. </w:t>
      </w:r>
    </w:p>
    <w:p w14:paraId="6017D8FB" w14:textId="7C35CA27" w:rsidR="00C9403D" w:rsidRDefault="00B070EE">
      <w:pPr>
        <w:numPr>
          <w:ilvl w:val="0"/>
          <w:numId w:val="1"/>
        </w:numPr>
        <w:ind w:right="49"/>
      </w:pPr>
      <w:r>
        <w:t>Arsa ve arazi birim değerleri en son 2021 yılında, 2022-2025 yılları için yapılmıştır. Davalı idarenin; 2026 yılından itibaren (4) yıl süre ile uygulayacağı asgari ölçüde arsa ve arazi metrekare birim değerleri hakkında şahsıma bir tebligat yapılmamış olup, bu kararı sosyal medya ve haber kanallarından yukarıda Ittıla Tarihi olarak belirttiğim tarihte öğrenmiş bulunuyorum.</w:t>
      </w:r>
    </w:p>
    <w:p w14:paraId="0DEBEFC6" w14:textId="77777777" w:rsidR="00C9403D" w:rsidRDefault="00B070EE">
      <w:pPr>
        <w:numPr>
          <w:ilvl w:val="0"/>
          <w:numId w:val="1"/>
        </w:numPr>
        <w:ind w:right="49"/>
      </w:pPr>
      <w:r>
        <w:lastRenderedPageBreak/>
        <w:t xml:space="preserve">Komisyon kararının incelenmesinden, yapılan tespit ve takdirin ölçüsüz, fahiş ve keyfi olduğu, ekonomideki ve şehirdeki, ilçedeki ve semtteki ve dahi ................ ................ Sokaktaki hiç bir ekonomik veya çevresel gelişmeye dayanmadığı, hiç bir somut ve maddî temelinin olmadığı görülmektedir.  Takdir komisyonu kararı bu haliyle iptale tabidir. </w:t>
      </w:r>
    </w:p>
    <w:p w14:paraId="2F5A498F" w14:textId="2F839EB5" w:rsidR="00C9403D" w:rsidRDefault="00B070EE">
      <w:pPr>
        <w:numPr>
          <w:ilvl w:val="0"/>
          <w:numId w:val="1"/>
        </w:numPr>
        <w:ind w:right="49"/>
      </w:pPr>
      <w:r>
        <w:t xml:space="preserve">Maliki bulunduğum taşınmazın bulunduğu ...................... .................. Sokakla ilgili olarak Takdir Komisyonu Kararının ekinde yer alan tabloda takdir edilen değer, yasa ve hukuk devleti kural ve ilkelerine, son 4 yılda veya geçen yıl içinde bu sokak veya çevresinde yaşanan </w:t>
      </w:r>
      <w:proofErr w:type="gramStart"/>
      <w:r>
        <w:t>hiç bir</w:t>
      </w:r>
      <w:proofErr w:type="gramEnd"/>
      <w:r>
        <w:t xml:space="preserve"> gelişmeye uygun değildir. Bu sokak ve çevresinde 4 yıl öncesine veya bir yıl öncesine göre astronomik değer artışını gerektirecek ne bir sokak düzenlemesi, ne bir kaldırım düzenlemesi, ne bir altyapı geliştirme çalışması ne de bir başka çevresel etki doğuracak bir iyileştirme, güzelleştirme faaliyeti yoktur. Devletin imar düzenlemesi gibi yeni bir tasarruf ya da işlemi gibi söz konusu 4 yıllık dönemde ve geçmiş bir yıllık dönemde bu ölçüsüz ve fahiş değer artışını izah edebilecek hiçbir işlem, durum, olay, vakıa yoktur. </w:t>
      </w:r>
    </w:p>
    <w:p w14:paraId="35C4C97E" w14:textId="77777777" w:rsidR="00C9403D" w:rsidRDefault="00B070EE">
      <w:pPr>
        <w:numPr>
          <w:ilvl w:val="0"/>
          <w:numId w:val="1"/>
        </w:numPr>
        <w:ind w:right="49"/>
      </w:pPr>
      <w:r>
        <w:t xml:space="preserve">29.05.2025 tarihli Takdir Komisyonu kararının alınmasında dikkate alınan ve değer artışına sebep olan ölçütlerin neler olduğu açıklanmadığından belirsizdir. Takdir edilen bedele hangi hesaplamalarla ulaşıldığı, her bir sokak bakımından, hangi somut verilerle ne şekilde hesaplandığı ve takdire ne şekilde dayanak yapıldığı açıklanmış değildir. Bu durum, dava konusu takdir işlemini, somut sebepten yoksun, hukuken sakat bir işlem haline getirmektedir. </w:t>
      </w:r>
    </w:p>
    <w:p w14:paraId="5972B8BE" w14:textId="77777777" w:rsidR="00C9403D" w:rsidRDefault="00B070EE">
      <w:pPr>
        <w:numPr>
          <w:ilvl w:val="0"/>
          <w:numId w:val="1"/>
        </w:numPr>
        <w:ind w:right="49"/>
      </w:pPr>
      <w:r>
        <w:t xml:space="preserve">2026 yılı için takdir komisyonunca belirlenen rakamlar, bir önceki 4 yıllık dönem için takdir edilen değerlere oranla astronomik derecede yüksektir. Bu değer artışı hukuk devleti ilkesinin bir göstergesi olan "idari işlemlerde orantılık </w:t>
      </w:r>
      <w:proofErr w:type="spellStart"/>
      <w:r>
        <w:t>ilkesi"nin</w:t>
      </w:r>
      <w:proofErr w:type="spellEnd"/>
      <w:r>
        <w:t xml:space="preserve"> ihlalini teşkil edecek düzeyde fahiştir, ölçüsüzdür, hukuk dışıdır. </w:t>
      </w:r>
    </w:p>
    <w:p w14:paraId="2126464A" w14:textId="77777777" w:rsidR="00C9403D" w:rsidRDefault="00B070EE">
      <w:pPr>
        <w:numPr>
          <w:ilvl w:val="0"/>
          <w:numId w:val="1"/>
        </w:numPr>
        <w:ind w:right="49"/>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677B916" wp14:editId="2A0447CD">
                <wp:simplePos x="0" y="0"/>
                <wp:positionH relativeFrom="page">
                  <wp:posOffset>3750691</wp:posOffset>
                </wp:positionH>
                <wp:positionV relativeFrom="page">
                  <wp:posOffset>10288143</wp:posOffset>
                </wp:positionV>
                <wp:extent cx="66040" cy="100457"/>
                <wp:effectExtent l="0" t="0" r="0" b="0"/>
                <wp:wrapTopAndBottom/>
                <wp:docPr id="14701" name="Group 14701"/>
                <wp:cNvGraphicFramePr/>
                <a:graphic xmlns:a="http://schemas.openxmlformats.org/drawingml/2006/main">
                  <a:graphicData uri="http://schemas.microsoft.com/office/word/2010/wordprocessingGroup">
                    <wpg:wgp>
                      <wpg:cNvGrpSpPr/>
                      <wpg:grpSpPr>
                        <a:xfrm>
                          <a:off x="0" y="0"/>
                          <a:ext cx="66040" cy="100457"/>
                          <a:chOff x="0" y="0"/>
                          <a:chExt cx="66040" cy="100457"/>
                        </a:xfrm>
                      </wpg:grpSpPr>
                      <wps:wsp>
                        <wps:cNvPr id="740" name="Shape 740"/>
                        <wps:cNvSpPr/>
                        <wps:spPr>
                          <a:xfrm>
                            <a:off x="0" y="0"/>
                            <a:ext cx="66040" cy="100457"/>
                          </a:xfrm>
                          <a:custGeom>
                            <a:avLst/>
                            <a:gdLst/>
                            <a:ahLst/>
                            <a:cxnLst/>
                            <a:rect l="0" t="0" r="0" b="0"/>
                            <a:pathLst>
                              <a:path w="66040" h="100457">
                                <a:moveTo>
                                  <a:pt x="34925" y="0"/>
                                </a:moveTo>
                                <a:cubicBezTo>
                                  <a:pt x="34925" y="0"/>
                                  <a:pt x="49149" y="0"/>
                                  <a:pt x="57658" y="8001"/>
                                </a:cubicBezTo>
                                <a:cubicBezTo>
                                  <a:pt x="57658" y="8001"/>
                                  <a:pt x="66040" y="15875"/>
                                  <a:pt x="66040" y="27813"/>
                                </a:cubicBezTo>
                                <a:cubicBezTo>
                                  <a:pt x="66040" y="27813"/>
                                  <a:pt x="66040" y="33782"/>
                                  <a:pt x="63627" y="39624"/>
                                </a:cubicBezTo>
                                <a:cubicBezTo>
                                  <a:pt x="63627" y="39624"/>
                                  <a:pt x="61087" y="45466"/>
                                  <a:pt x="55499" y="51816"/>
                                </a:cubicBezTo>
                                <a:cubicBezTo>
                                  <a:pt x="55499" y="51816"/>
                                  <a:pt x="49784" y="58166"/>
                                  <a:pt x="36449" y="69469"/>
                                </a:cubicBezTo>
                                <a:cubicBezTo>
                                  <a:pt x="36449" y="69469"/>
                                  <a:pt x="25400" y="78613"/>
                                  <a:pt x="22352" y="82042"/>
                                </a:cubicBezTo>
                                <a:cubicBezTo>
                                  <a:pt x="22352" y="82042"/>
                                  <a:pt x="19177" y="85344"/>
                                  <a:pt x="17018" y="88773"/>
                                </a:cubicBezTo>
                                <a:lnTo>
                                  <a:pt x="66040" y="88773"/>
                                </a:lnTo>
                                <a:lnTo>
                                  <a:pt x="66040" y="100457"/>
                                </a:lnTo>
                                <a:lnTo>
                                  <a:pt x="0" y="100457"/>
                                </a:lnTo>
                                <a:cubicBezTo>
                                  <a:pt x="0" y="100457"/>
                                  <a:pt x="0" y="96139"/>
                                  <a:pt x="1524" y="91948"/>
                                </a:cubicBezTo>
                                <a:cubicBezTo>
                                  <a:pt x="1524" y="91948"/>
                                  <a:pt x="3937" y="85217"/>
                                  <a:pt x="9525" y="78613"/>
                                </a:cubicBezTo>
                                <a:cubicBezTo>
                                  <a:pt x="9525" y="78613"/>
                                  <a:pt x="15113" y="72136"/>
                                  <a:pt x="25527" y="63500"/>
                                </a:cubicBezTo>
                                <a:cubicBezTo>
                                  <a:pt x="25527" y="63500"/>
                                  <a:pt x="41910" y="50038"/>
                                  <a:pt x="47625" y="42291"/>
                                </a:cubicBezTo>
                                <a:cubicBezTo>
                                  <a:pt x="47625" y="42291"/>
                                  <a:pt x="53340" y="34544"/>
                                  <a:pt x="53340" y="27686"/>
                                </a:cubicBezTo>
                                <a:cubicBezTo>
                                  <a:pt x="53340" y="27686"/>
                                  <a:pt x="53340" y="20320"/>
                                  <a:pt x="48260" y="15240"/>
                                </a:cubicBezTo>
                                <a:cubicBezTo>
                                  <a:pt x="48260" y="15240"/>
                                  <a:pt x="43053" y="10160"/>
                                  <a:pt x="34544" y="10160"/>
                                </a:cubicBezTo>
                                <a:cubicBezTo>
                                  <a:pt x="34544" y="10160"/>
                                  <a:pt x="25781" y="10160"/>
                                  <a:pt x="20447" y="15494"/>
                                </a:cubicBezTo>
                                <a:cubicBezTo>
                                  <a:pt x="20447" y="15494"/>
                                  <a:pt x="15113" y="20828"/>
                                  <a:pt x="15113" y="30226"/>
                                </a:cubicBezTo>
                                <a:lnTo>
                                  <a:pt x="2413" y="29083"/>
                                </a:lnTo>
                                <a:cubicBezTo>
                                  <a:pt x="2413" y="29083"/>
                                  <a:pt x="3810" y="14986"/>
                                  <a:pt x="12192" y="7493"/>
                                </a:cubicBezTo>
                                <a:cubicBezTo>
                                  <a:pt x="12192" y="7493"/>
                                  <a:pt x="20574" y="0"/>
                                  <a:pt x="34925"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701" style="width:5.20001pt;height:7.90997pt;position:absolute;mso-position-horizontal-relative:page;mso-position-horizontal:absolute;margin-left:295.33pt;mso-position-vertical-relative:page;margin-top:810.09pt;" coordsize="660,1004">
                <v:shape id="Shape 740" style="position:absolute;width:660;height:1004;left:0;top:0;" coordsize="66040,100457" path="m34925,0c34925,0,49149,0,57658,8001c57658,8001,66040,15875,66040,27813c66040,27813,66040,33782,63627,39624c63627,39624,61087,45466,55499,51816c55499,51816,49784,58166,36449,69469c36449,69469,25400,78613,22352,82042c22352,82042,19177,85344,17018,88773l66040,88773l66040,100457l0,100457c0,100457,0,96139,1524,91948c1524,91948,3937,85217,9525,78613c9525,78613,15113,72136,25527,63500c25527,63500,41910,50038,47625,42291c47625,42291,53340,34544,53340,27686c53340,27686,53340,20320,48260,15240c48260,15240,43053,10160,34544,10160c34544,10160,25781,10160,20447,15494c20447,15494,15113,20828,15113,30226l2413,29083c2413,29083,3810,14986,12192,7493c12192,7493,20574,0,34925,0x">
                  <v:stroke weight="0pt" endcap="square" joinstyle="miter" miterlimit="10" on="false" color="#000000" opacity="0"/>
                  <v:fill on="true" color="#000000"/>
                </v:shape>
                <w10:wrap type="topAndBottom"/>
              </v:group>
            </w:pict>
          </mc:Fallback>
        </mc:AlternateContent>
      </w:r>
      <w:r>
        <w:t>Emlak Vergisi servet üzerinden alınan bir vergidir. Servetin değerindeki artışın tespitindeki hata tarh ve tahakkuk ettirilecek verginin hesaplanmasında da hataya sebep olacaktır.</w:t>
      </w:r>
    </w:p>
    <w:p w14:paraId="5463429F" w14:textId="77777777" w:rsidR="00C9403D" w:rsidRDefault="00B070EE">
      <w:pPr>
        <w:numPr>
          <w:ilvl w:val="0"/>
          <w:numId w:val="1"/>
        </w:numPr>
        <w:ind w:right="49"/>
      </w:pPr>
      <w:r>
        <w:t xml:space="preserve">T.C. Anayasası </w:t>
      </w:r>
      <w:proofErr w:type="spellStart"/>
      <w:r>
        <w:t>md.</w:t>
      </w:r>
      <w:proofErr w:type="spellEnd"/>
      <w:r>
        <w:t xml:space="preserve"> 73 "vergi yükünün adaletli ve dengeli dağılımı, maliye politikasının sosyal amacıdır" demekle idareye vergide adaletli ve dengeli bir yaklaşım yükümünü yüklemiştir. Davalı İdarenin vergide adalet ve dengeli dağılım ilkesine ve Anayasa'nın aynı maddesinde öngörülen herkesin malî gücüne göre vergi ödemekle yükümlü olduğu ilkesine uygun davranma yükümlülüğü bulunmaktadır.</w:t>
      </w:r>
    </w:p>
    <w:p w14:paraId="7EFFC15F" w14:textId="7ECA3D4D" w:rsidR="00C9403D" w:rsidRDefault="00176D17">
      <w:pPr>
        <w:numPr>
          <w:ilvl w:val="0"/>
          <w:numId w:val="1"/>
        </w:numPr>
        <w:ind w:right="49"/>
      </w:pPr>
      <w:r>
        <w:t>Ankara</w:t>
      </w:r>
      <w:r w:rsidR="00B070EE">
        <w:t xml:space="preserve"> </w:t>
      </w:r>
      <w:r>
        <w:t>–</w:t>
      </w:r>
      <w:r w:rsidR="00B070EE">
        <w:t xml:space="preserve"> </w:t>
      </w:r>
      <w:r>
        <w:t>Çankaya Be</w:t>
      </w:r>
      <w:r w:rsidR="00B070EE">
        <w:t xml:space="preserve">lediyesi, </w:t>
      </w:r>
      <w:r>
        <w:t>Çiğdem</w:t>
      </w:r>
      <w:r w:rsidR="00B070EE">
        <w:t xml:space="preserve"> Mahallesi, ...........................  Sokak için 2026 yılı emlak beyan döneminde uygulanacak "Arsalara ait Asgari Ölçüde Metrekare Birim Değer" tespitine ilişkin 29.05.2025 tarihli ve 24 sayılı </w:t>
      </w:r>
      <w:r>
        <w:t>Çankaya</w:t>
      </w:r>
      <w:r w:rsidR="00B070EE">
        <w:t xml:space="preserve"> Arsa Takdir Komisyon Kararı yasa ve hukuk devleti kural ve prensiplerine uygun değildir. Zira dört yıl önceki değere göre .............. </w:t>
      </w:r>
      <w:proofErr w:type="gramStart"/>
      <w:r w:rsidR="00B070EE">
        <w:t>kat</w:t>
      </w:r>
      <w:proofErr w:type="gramEnd"/>
      <w:r w:rsidR="00B070EE">
        <w:t xml:space="preserve"> metrekare birim değer artışının hiç bir açıklayıcı sebebi yoktur. Oysa ki 2022 yılından bu yana bölgede yeni bir imar durumu, hastane, okul, yol, oto yol, köprü, kamu binası, özel site ve bina yapımı gibi arsa birim değerini olağanüstü yükselten hiçbir harici gelişme olmadığı gibi davalı</w:t>
      </w:r>
      <w:r>
        <w:t xml:space="preserve"> Çankaya</w:t>
      </w:r>
      <w:r w:rsidR="00B070EE">
        <w:t xml:space="preserve"> Belediyesinin yeni bir hizmet vermesi ya da yatırım yapması gibi herhangi bir husus da söz konusu değildir. </w:t>
      </w:r>
    </w:p>
    <w:p w14:paraId="34AA6421" w14:textId="77777777" w:rsidR="00C9403D" w:rsidRDefault="00B070EE">
      <w:pPr>
        <w:numPr>
          <w:ilvl w:val="0"/>
          <w:numId w:val="1"/>
        </w:numPr>
        <w:ind w:right="49"/>
      </w:pPr>
      <w:r>
        <w:t>Oturduğu veya kiraya verdiği konutu satma düşüncesi olmayan ve bu sebeple bir satış vergisi de ödemesi gerekmeyecek mülk sahibine emlak vergisi matrahının gerekçesiz, mesnetsiz ve ölçüsüz şekilde artırılması sebebiyle mülkünü satacakmış gibi ve adeta satış vergisi gibi emlak vergisi yüklenmektedir.</w:t>
      </w:r>
    </w:p>
    <w:p w14:paraId="07D02154" w14:textId="77777777" w:rsidR="00C9403D" w:rsidRDefault="00B070EE">
      <w:pPr>
        <w:numPr>
          <w:ilvl w:val="0"/>
          <w:numId w:val="1"/>
        </w:numPr>
        <w:ind w:right="49"/>
      </w:pPr>
      <w:r>
        <w:t xml:space="preserve">Vergi Usul Kanunun 3. maddesine göre, vergilendirmede, vergiyi doğuran olay ve bu olaya ilişkin muamelelerin gerçek mahiyeti esastır. Gayrimenkulün satış amacıyla elde tutulmadığı bir durumda, on yıllardır ebeveynlerinden çocuklarına ve torunlarına geçecek </w:t>
      </w:r>
      <w:r>
        <w:lastRenderedPageBreak/>
        <w:t xml:space="preserve">şekilde ikamet edilegelen veya emeklilikte ek bir kira geliri amacıyla elde tutulan bir gayrimenkulün yarın satılacakmış gibi bir değer üzerinden emlak vergisine tabi tutulması </w:t>
      </w:r>
      <w:proofErr w:type="gramStart"/>
      <w:r>
        <w:t>Anayasanın  öngördüğü</w:t>
      </w:r>
      <w:proofErr w:type="gramEnd"/>
      <w:r>
        <w:t xml:space="preserve"> vergileme amaçlarına ve ilkelerine aykırılık teşkil eder niteliktedir.</w:t>
      </w:r>
    </w:p>
    <w:p w14:paraId="569B571A" w14:textId="77777777" w:rsidR="00C9403D" w:rsidRDefault="00B070EE">
      <w:pPr>
        <w:numPr>
          <w:ilvl w:val="0"/>
          <w:numId w:val="1"/>
        </w:numPr>
        <w:spacing w:after="0"/>
        <w:ind w:right="49"/>
      </w:pPr>
      <w:r>
        <w:t xml:space="preserve">Devletin gücü her satış işleminde piyasa rayiçleri üzerinden işlem harcı veya gelir vergisi almaya yeter iken hukuk devleti (ölçülülük) ilkesine aykırı olarak bu yolu tercih etmeyip satma niyeti olmadan nesiller boyu aynı evde oturan ve binanın yerleştiği alan dışında kalan arsasını hiç kullanmayan mülk sahibinin tabi olacağı arsa metrekare birim değeri yönünden EMLAK VERGİSİ MATRAHININ doğru, adil ve hakkaniyet ölçüsünde belirlenmesi esastır. Mülk sahibi tarafından kullanılmayan, tamamen binaların arka cephelerinde yeşil alan gibi kalan arsa payının emlak vergisi beyan gününde satılacakmış gibi "normal alım satım </w:t>
      </w:r>
      <w:proofErr w:type="spellStart"/>
      <w:r>
        <w:t>değeri"ne</w:t>
      </w:r>
      <w:proofErr w:type="spellEnd"/>
      <w:r>
        <w:t xml:space="preserve"> (7/3995 sayılı Emlâk Vergisine Matrah Olacak Vergi Değerlerinin Takdirine İlişkin Tüzük </w:t>
      </w:r>
      <w:proofErr w:type="spellStart"/>
      <w:r>
        <w:t>md.</w:t>
      </w:r>
      <w:proofErr w:type="spellEnd"/>
      <w:r>
        <w:t xml:space="preserve"> 2 hükmüne) göre değer tespit edilmesi </w:t>
      </w:r>
    </w:p>
    <w:p w14:paraId="20695424" w14:textId="77777777" w:rsidR="00C9403D" w:rsidRDefault="00B070EE">
      <w:pPr>
        <w:ind w:left="485" w:right="49" w:firstLine="0"/>
      </w:pPr>
      <w:r>
        <w:t>Anayasa'nın vergilemede adalet ve dengeli dağılım ilkelerine aykırılık teşkil etmektedir. Belediyelerin yükümlülüklerinden olan yeşil alan ve çevresel hizmetler, bina yoğunluğu olan yerlerde binanın arka cephesinde kalan yeşil alan olarak mülk sahibi tarafından sağlanır iken satış amacı ve fikri olmayan mülk sahibinden "normal alım satım değeri" esasıyla emlak vergisi alınmasının hiç bir haklı gerekçesi olamaz.</w:t>
      </w:r>
    </w:p>
    <w:p w14:paraId="03CDBECD" w14:textId="77777777" w:rsidR="00C9403D" w:rsidRDefault="00B070EE">
      <w:pPr>
        <w:numPr>
          <w:ilvl w:val="0"/>
          <w:numId w:val="1"/>
        </w:numPr>
        <w:ind w:right="49"/>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1434FE7" wp14:editId="0E5D0EE3">
                <wp:simplePos x="0" y="0"/>
                <wp:positionH relativeFrom="page">
                  <wp:posOffset>3752469</wp:posOffset>
                </wp:positionH>
                <wp:positionV relativeFrom="page">
                  <wp:posOffset>10288143</wp:posOffset>
                </wp:positionV>
                <wp:extent cx="65532" cy="102235"/>
                <wp:effectExtent l="0" t="0" r="0" b="0"/>
                <wp:wrapTopAndBottom/>
                <wp:docPr id="14702" name="Group 14702"/>
                <wp:cNvGraphicFramePr/>
                <a:graphic xmlns:a="http://schemas.openxmlformats.org/drawingml/2006/main">
                  <a:graphicData uri="http://schemas.microsoft.com/office/word/2010/wordprocessingGroup">
                    <wpg:wgp>
                      <wpg:cNvGrpSpPr/>
                      <wpg:grpSpPr>
                        <a:xfrm>
                          <a:off x="0" y="0"/>
                          <a:ext cx="65532" cy="102235"/>
                          <a:chOff x="0" y="0"/>
                          <a:chExt cx="65532" cy="102235"/>
                        </a:xfrm>
                      </wpg:grpSpPr>
                      <wps:wsp>
                        <wps:cNvPr id="1822" name="Shape 1822"/>
                        <wps:cNvSpPr/>
                        <wps:spPr>
                          <a:xfrm>
                            <a:off x="0" y="0"/>
                            <a:ext cx="65532" cy="102235"/>
                          </a:xfrm>
                          <a:custGeom>
                            <a:avLst/>
                            <a:gdLst/>
                            <a:ahLst/>
                            <a:cxnLst/>
                            <a:rect l="0" t="0" r="0" b="0"/>
                            <a:pathLst>
                              <a:path w="65532" h="102235">
                                <a:moveTo>
                                  <a:pt x="31115" y="0"/>
                                </a:moveTo>
                                <a:cubicBezTo>
                                  <a:pt x="31115" y="0"/>
                                  <a:pt x="39497" y="0"/>
                                  <a:pt x="46355" y="3556"/>
                                </a:cubicBezTo>
                                <a:cubicBezTo>
                                  <a:pt x="46355" y="3556"/>
                                  <a:pt x="53213" y="6985"/>
                                  <a:pt x="56896" y="13208"/>
                                </a:cubicBezTo>
                                <a:cubicBezTo>
                                  <a:pt x="56896" y="13208"/>
                                  <a:pt x="60452" y="19303"/>
                                  <a:pt x="60452" y="26035"/>
                                </a:cubicBezTo>
                                <a:cubicBezTo>
                                  <a:pt x="60452" y="26035"/>
                                  <a:pt x="60452" y="32639"/>
                                  <a:pt x="57023" y="37846"/>
                                </a:cubicBezTo>
                                <a:cubicBezTo>
                                  <a:pt x="57023" y="37846"/>
                                  <a:pt x="53594" y="43053"/>
                                  <a:pt x="46609" y="46228"/>
                                </a:cubicBezTo>
                                <a:cubicBezTo>
                                  <a:pt x="46609" y="46228"/>
                                  <a:pt x="55499" y="48260"/>
                                  <a:pt x="60452" y="54737"/>
                                </a:cubicBezTo>
                                <a:cubicBezTo>
                                  <a:pt x="60452" y="54737"/>
                                  <a:pt x="65532" y="61214"/>
                                  <a:pt x="65532" y="70866"/>
                                </a:cubicBezTo>
                                <a:cubicBezTo>
                                  <a:pt x="65532" y="70866"/>
                                  <a:pt x="65532" y="83947"/>
                                  <a:pt x="55880" y="93091"/>
                                </a:cubicBezTo>
                                <a:cubicBezTo>
                                  <a:pt x="55880" y="93091"/>
                                  <a:pt x="46228" y="102235"/>
                                  <a:pt x="31750" y="102235"/>
                                </a:cubicBezTo>
                                <a:cubicBezTo>
                                  <a:pt x="31750" y="102235"/>
                                  <a:pt x="18415" y="102235"/>
                                  <a:pt x="9779" y="94361"/>
                                </a:cubicBezTo>
                                <a:cubicBezTo>
                                  <a:pt x="9779" y="94361"/>
                                  <a:pt x="1143" y="86614"/>
                                  <a:pt x="0" y="74041"/>
                                </a:cubicBezTo>
                                <a:lnTo>
                                  <a:pt x="12065" y="72517"/>
                                </a:lnTo>
                                <a:cubicBezTo>
                                  <a:pt x="12065" y="72517"/>
                                  <a:pt x="14224" y="82803"/>
                                  <a:pt x="19304" y="87503"/>
                                </a:cubicBezTo>
                                <a:cubicBezTo>
                                  <a:pt x="19304" y="87503"/>
                                  <a:pt x="24384" y="92075"/>
                                  <a:pt x="31750" y="92075"/>
                                </a:cubicBezTo>
                                <a:cubicBezTo>
                                  <a:pt x="31750" y="92075"/>
                                  <a:pt x="40513" y="92075"/>
                                  <a:pt x="46482" y="86106"/>
                                </a:cubicBezTo>
                                <a:cubicBezTo>
                                  <a:pt x="46482" y="86106"/>
                                  <a:pt x="52324" y="80010"/>
                                  <a:pt x="52324" y="71247"/>
                                </a:cubicBezTo>
                                <a:cubicBezTo>
                                  <a:pt x="52324" y="71247"/>
                                  <a:pt x="52324" y="62738"/>
                                  <a:pt x="46863" y="57277"/>
                                </a:cubicBezTo>
                                <a:cubicBezTo>
                                  <a:pt x="46863" y="57277"/>
                                  <a:pt x="41275" y="51816"/>
                                  <a:pt x="32766" y="51816"/>
                                </a:cubicBezTo>
                                <a:cubicBezTo>
                                  <a:pt x="32766" y="51816"/>
                                  <a:pt x="29337" y="51816"/>
                                  <a:pt x="24257" y="53086"/>
                                </a:cubicBezTo>
                                <a:lnTo>
                                  <a:pt x="25400" y="42291"/>
                                </a:lnTo>
                                <a:cubicBezTo>
                                  <a:pt x="25400" y="42291"/>
                                  <a:pt x="26797" y="42545"/>
                                  <a:pt x="27432" y="42545"/>
                                </a:cubicBezTo>
                                <a:cubicBezTo>
                                  <a:pt x="27432" y="42545"/>
                                  <a:pt x="35306" y="42545"/>
                                  <a:pt x="41529" y="38481"/>
                                </a:cubicBezTo>
                                <a:cubicBezTo>
                                  <a:pt x="41529" y="38481"/>
                                  <a:pt x="47752" y="34417"/>
                                  <a:pt x="47752" y="25908"/>
                                </a:cubicBezTo>
                                <a:cubicBezTo>
                                  <a:pt x="47752" y="25908"/>
                                  <a:pt x="47752" y="19050"/>
                                  <a:pt x="43307" y="14605"/>
                                </a:cubicBezTo>
                                <a:cubicBezTo>
                                  <a:pt x="43307" y="14605"/>
                                  <a:pt x="38735" y="10160"/>
                                  <a:pt x="31496" y="10160"/>
                                </a:cubicBezTo>
                                <a:cubicBezTo>
                                  <a:pt x="31496" y="10160"/>
                                  <a:pt x="24384" y="10160"/>
                                  <a:pt x="19685" y="14605"/>
                                </a:cubicBezTo>
                                <a:cubicBezTo>
                                  <a:pt x="19685" y="14605"/>
                                  <a:pt x="14859" y="19050"/>
                                  <a:pt x="13462" y="28194"/>
                                </a:cubicBezTo>
                                <a:lnTo>
                                  <a:pt x="1143" y="26035"/>
                                </a:lnTo>
                                <a:cubicBezTo>
                                  <a:pt x="1143" y="26035"/>
                                  <a:pt x="3302" y="13589"/>
                                  <a:pt x="11430" y="6858"/>
                                </a:cubicBezTo>
                                <a:cubicBezTo>
                                  <a:pt x="11430" y="6858"/>
                                  <a:pt x="19431" y="0"/>
                                  <a:pt x="31115"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702" style="width:5.16pt;height:8.04999pt;position:absolute;mso-position-horizontal-relative:page;mso-position-horizontal:absolute;margin-left:295.47pt;mso-position-vertical-relative:page;margin-top:810.09pt;" coordsize="655,1022">
                <v:shape id="Shape 1822" style="position:absolute;width:655;height:1022;left:0;top:0;" coordsize="65532,102235" path="m31115,0c31115,0,39497,0,46355,3556c46355,3556,53213,6985,56896,13208c56896,13208,60452,19303,60452,26035c60452,26035,60452,32639,57023,37846c57023,37846,53594,43053,46609,46228c46609,46228,55499,48260,60452,54737c60452,54737,65532,61214,65532,70866c65532,70866,65532,83947,55880,93091c55880,93091,46228,102235,31750,102235c31750,102235,18415,102235,9779,94361c9779,94361,1143,86614,0,74041l12065,72517c12065,72517,14224,82803,19304,87503c19304,87503,24384,92075,31750,92075c31750,92075,40513,92075,46482,86106c46482,86106,52324,80010,52324,71247c52324,71247,52324,62738,46863,57277c46863,57277,41275,51816,32766,51816c32766,51816,29337,51816,24257,53086l25400,42291c25400,42291,26797,42545,27432,42545c27432,42545,35306,42545,41529,38481c41529,38481,47752,34417,47752,25908c47752,25908,47752,19050,43307,14605c43307,14605,38735,10160,31496,10160c31496,10160,24384,10160,19685,14605c19685,14605,14859,19050,13462,28194l1143,26035c1143,26035,3302,13589,11430,6858c11430,6858,19431,0,31115,0x">
                  <v:stroke weight="0pt" endcap="square" joinstyle="miter" miterlimit="10" on="false" color="#000000" opacity="0"/>
                  <v:fill on="true" color="#000000"/>
                </v:shape>
                <w10:wrap type="topAndBottom"/>
              </v:group>
            </w:pict>
          </mc:Fallback>
        </mc:AlternateContent>
      </w:r>
      <w:r>
        <w:t xml:space="preserve">Emlak fiyatlarında olağan dışı harici bir gelişme olmadı ise dört yıllık değer artışının en fazla sadece enflasyondan kaynaklanan değer artışından ibaret olması gerekir. Nitekim, kanun koyucu 1319 sayılı Kanun’un 29/2 maddesinde enflasyon kaynaklı bu artışı “yıllık yeniden değerleme oranının yarısı” olarak tanımlamıştır. Bunun üzerindeki artış kararının da takdir komisyonunca gerekçeleri ile gösterilmesi icap eder. Çünkü, yine Vergi Usul Kanunu'nun 3. maddesinde, iktisadi ticari icaplara uymayan, normal ve </w:t>
      </w:r>
      <w:proofErr w:type="spellStart"/>
      <w:r>
        <w:t>mutad</w:t>
      </w:r>
      <w:proofErr w:type="spellEnd"/>
      <w:r>
        <w:t xml:space="preserve"> olmayan bir durumu iddia eden taraf ispatla mükelleftir. Buna göre davalı belediye enflasyon gerekçesi dışında bir değer artışı iddiasında ise bunu ispat etmekle yükümlüdür. Aksi taktirde, takdir komisyonunun hiçbir ekonomik dayanak göstermeden, asgari metrekare birim değerleri dolayısıyla ödenecek vergiyi ölçüsüzce, fahiş bir artış oranı ile katbekat yükseltmesi, takdir yetkisinin ekonomik gereklere ve somut ihtiyaçlara göre değil, keyfi kullanılması anlamı taşımaktadır ve bu sebeple külliyen hukuka aykırıdır.</w:t>
      </w:r>
    </w:p>
    <w:p w14:paraId="071D6A29" w14:textId="77777777" w:rsidR="00C9403D" w:rsidRDefault="00B070EE">
      <w:pPr>
        <w:numPr>
          <w:ilvl w:val="0"/>
          <w:numId w:val="1"/>
        </w:numPr>
        <w:ind w:right="49"/>
      </w:pPr>
      <w:r>
        <w:t xml:space="preserve">İdari işlemler 5 unsur (yetki, şekil, sebep, konu, amaç) bakımından hukuka uygunluk kuralına, aksi halde iptal edilebilirlik yaptırımına tabidir.  Açıkça hukuka aykırı idari işlem nedeniyle şahsımın telafisi güç zarara uğrayacağı izahtan varestedir. </w:t>
      </w:r>
    </w:p>
    <w:p w14:paraId="0E7E5667" w14:textId="47F642FC" w:rsidR="00C9403D" w:rsidRDefault="00B070EE">
      <w:pPr>
        <w:numPr>
          <w:ilvl w:val="0"/>
          <w:numId w:val="1"/>
        </w:numPr>
        <w:spacing w:after="0" w:line="259" w:lineRule="auto"/>
        <w:ind w:right="49"/>
      </w:pPr>
      <w:r>
        <w:t>YÜRÜTMEYİ DURDURMA TALEBİMİZ BAKIMINDAN,</w:t>
      </w:r>
      <w:r w:rsidR="00176D17">
        <w:t xml:space="preserve"> </w:t>
      </w:r>
      <w:proofErr w:type="gramStart"/>
      <w:r w:rsidR="00176D17">
        <w:t>Ankara</w:t>
      </w:r>
      <w:r>
        <w:t xml:space="preserve"> -</w:t>
      </w:r>
      <w:proofErr w:type="gramEnd"/>
      <w:r>
        <w:t xml:space="preserve"> </w:t>
      </w:r>
      <w:r w:rsidR="00176D17">
        <w:t>Çankaya</w:t>
      </w:r>
      <w:r>
        <w:t xml:space="preserve"> </w:t>
      </w:r>
    </w:p>
    <w:p w14:paraId="1FC5670A" w14:textId="24EA7859" w:rsidR="00C9403D" w:rsidRDefault="00B070EE">
      <w:pPr>
        <w:ind w:left="485" w:right="49" w:firstLine="0"/>
      </w:pPr>
      <w:r>
        <w:t xml:space="preserve">Belediyesi, </w:t>
      </w:r>
      <w:r w:rsidR="00176D17">
        <w:t>Çiğdem</w:t>
      </w:r>
      <w:r>
        <w:t xml:space="preserve"> Mahallesi, .......................................... ............. Sokak için 2026 yılı emlak beyan döneminde uygulanacak "Arsalara ait Asgari Ölçüde Metrekare  Birim Değer" tespitine ilişkin 29.05.2025 tarihli ve 24 sayılı </w:t>
      </w:r>
      <w:r w:rsidR="00176D17">
        <w:t>Çankaya</w:t>
      </w:r>
      <w:r>
        <w:t xml:space="preserve"> Arsa Takdir Komisyon Kararının uygulanması halinde astronomik şekilde artırılmış değerler üzerinden ölçüsüz derecede yüksek vergilerin (emlak vergisi, emsal kira geliri sebebiyle cezalı ek vergi tahakkuku, değerli konut vergisi gibi) ödenmesi sonucu ortaya çıkacağından, bu yüksek vergilerin ödenmesi mülk sahibi olmamız sebebiyle ölçüsüz şekilde vergiye maruz kalmamıza ve ödeme gücümüzü aşan, vergiye tabi emlak sebebiyle sağladığımız fayda ile karşılanamayacak bir vergi yüküne katlanmamıza sebep olacaktır.</w:t>
      </w:r>
    </w:p>
    <w:p w14:paraId="730EB841" w14:textId="77777777" w:rsidR="00C9403D" w:rsidRDefault="00B070EE">
      <w:pPr>
        <w:numPr>
          <w:ilvl w:val="0"/>
          <w:numId w:val="1"/>
        </w:numPr>
        <w:spacing w:after="192"/>
        <w:ind w:right="49"/>
      </w:pPr>
      <w:r>
        <w:t xml:space="preserve">Yukarıda arz ve izah ettiğimiz sebeplerle, yürütmeyi durdurma talebimiz bakımından İYUK </w:t>
      </w:r>
      <w:proofErr w:type="spellStart"/>
      <w:r>
        <w:t>md.</w:t>
      </w:r>
      <w:proofErr w:type="spellEnd"/>
      <w:r>
        <w:t xml:space="preserve"> 27'de belirlenen koşulların gerçekleştiği kanaatimizi Sayın Mahkemenin takdirine arz ederiz.</w:t>
      </w:r>
    </w:p>
    <w:p w14:paraId="16BF9CB6" w14:textId="77777777" w:rsidR="00C9403D" w:rsidRDefault="00B070EE">
      <w:pPr>
        <w:spacing w:after="192"/>
        <w:ind w:left="0" w:right="49" w:firstLine="840"/>
      </w:pPr>
      <w:r>
        <w:rPr>
          <w:b/>
        </w:rPr>
        <w:t>HUKUKİ NEDENLER:</w:t>
      </w:r>
      <w:r>
        <w:t xml:space="preserve"> Anayasa, 213 sayılı Vergi Usul Kanunu, 1319 sayılı Emlak Vergisi Kanunu, 2577 sayılı İYUK ve ilgili mevzuat ve içtihat.</w:t>
      </w:r>
    </w:p>
    <w:p w14:paraId="4FEBB8C6" w14:textId="77777777" w:rsidR="00C9403D" w:rsidRDefault="00B070EE">
      <w:pPr>
        <w:ind w:left="0" w:right="49" w:firstLine="840"/>
      </w:pPr>
      <w:proofErr w:type="gramStart"/>
      <w:r>
        <w:rPr>
          <w:b/>
        </w:rPr>
        <w:lastRenderedPageBreak/>
        <w:t>DELİLLER :</w:t>
      </w:r>
      <w:proofErr w:type="gramEnd"/>
      <w:r>
        <w:t xml:space="preserve"> Hak Sahipliğini Gösterir Belge (Tapu Kaydı),  Takdir Komisyonu Kararı, Bilirkişi İncelemesi, Keşif, Tanık ve sair her türlü delil.</w:t>
      </w:r>
    </w:p>
    <w:p w14:paraId="211C68C9" w14:textId="77777777" w:rsidR="00C9403D" w:rsidRDefault="00B070EE">
      <w:pPr>
        <w:ind w:left="0" w:right="49" w:firstLine="840"/>
      </w:pPr>
      <w:r>
        <w:rPr>
          <w:b/>
        </w:rPr>
        <w:t xml:space="preserve">SONUÇ VE </w:t>
      </w:r>
      <w:proofErr w:type="gramStart"/>
      <w:r>
        <w:rPr>
          <w:b/>
        </w:rPr>
        <w:t>TALEP :</w:t>
      </w:r>
      <w:proofErr w:type="gramEnd"/>
      <w:r>
        <w:t xml:space="preserve"> Yukarıda arz ve izah edilen ve Sayın Mahkemece </w:t>
      </w:r>
      <w:proofErr w:type="spellStart"/>
      <w:r>
        <w:t>re'sen</w:t>
      </w:r>
      <w:proofErr w:type="spellEnd"/>
      <w:r>
        <w:t xml:space="preserve"> takdir edilecek diğer  nedenlerle; </w:t>
      </w:r>
    </w:p>
    <w:p w14:paraId="59ECAD3A" w14:textId="77777777" w:rsidR="00C9403D" w:rsidRDefault="00B070EE">
      <w:pPr>
        <w:numPr>
          <w:ilvl w:val="0"/>
          <w:numId w:val="2"/>
        </w:numPr>
        <w:ind w:right="49" w:firstLine="840"/>
      </w:pPr>
      <w:r>
        <w:t>Öncelikle ve ivedilikle yürütmenin durdurulması taleplerimizin KABULÜNE,</w:t>
      </w:r>
    </w:p>
    <w:p w14:paraId="67BE6B7A" w14:textId="655B9213" w:rsidR="00C9403D" w:rsidRDefault="0012518A">
      <w:pPr>
        <w:numPr>
          <w:ilvl w:val="0"/>
          <w:numId w:val="2"/>
        </w:numPr>
        <w:spacing w:after="0" w:line="259" w:lineRule="auto"/>
        <w:ind w:right="49" w:firstLine="840"/>
      </w:pPr>
      <w:proofErr w:type="gramStart"/>
      <w:r>
        <w:t>Ankara</w:t>
      </w:r>
      <w:r w:rsidR="00B070EE">
        <w:t xml:space="preserve"> -</w:t>
      </w:r>
      <w:proofErr w:type="gramEnd"/>
      <w:r w:rsidR="00B070EE">
        <w:t xml:space="preserve"> </w:t>
      </w:r>
      <w:r>
        <w:t>Çankaya</w:t>
      </w:r>
      <w:r w:rsidR="00B070EE">
        <w:t xml:space="preserve"> Belediyesi, </w:t>
      </w:r>
      <w:r>
        <w:t>Çiğdem</w:t>
      </w:r>
      <w:r w:rsidR="00B070EE">
        <w:t xml:space="preserve"> Mahallesi, ................................... ............. </w:t>
      </w:r>
    </w:p>
    <w:p w14:paraId="0F2E0642" w14:textId="77777777" w:rsidR="00C9403D" w:rsidRDefault="00B070EE">
      <w:pPr>
        <w:spacing w:after="9"/>
        <w:ind w:left="0" w:right="49" w:firstLine="0"/>
      </w:pPr>
      <w:r>
        <w:t xml:space="preserve">Sokak için 2026 yılı emlak beyan döneminde uygulanacak "Arsalara ait Asgari Ölçüde Metrekare </w:t>
      </w:r>
    </w:p>
    <w:p w14:paraId="73B2CAC5" w14:textId="2ED0017E" w:rsidR="00C9403D" w:rsidRDefault="00B070EE">
      <w:pPr>
        <w:spacing w:after="9"/>
        <w:ind w:left="0" w:right="49" w:firstLine="0"/>
      </w:pPr>
      <w:r>
        <w:t xml:space="preserve">Birim Değer" tespitine ilişkin 29.05.2025 tarihli ve 24 sayılı </w:t>
      </w:r>
      <w:r w:rsidR="0012518A">
        <w:t>Çankaya</w:t>
      </w:r>
      <w:r>
        <w:t xml:space="preserve"> Arsa Takdir Komisyon </w:t>
      </w:r>
    </w:p>
    <w:p w14:paraId="2D19DBA2" w14:textId="77777777" w:rsidR="00C9403D" w:rsidRDefault="00B070EE">
      <w:pPr>
        <w:ind w:left="0" w:right="49" w:firstLine="0"/>
      </w:pPr>
      <w:r>
        <w:t xml:space="preserve">Kararının İPTALİNE, </w:t>
      </w:r>
    </w:p>
    <w:p w14:paraId="540B9743" w14:textId="77777777" w:rsidR="00C9403D" w:rsidRDefault="00B070EE">
      <w:pPr>
        <w:numPr>
          <w:ilvl w:val="0"/>
          <w:numId w:val="2"/>
        </w:numPr>
        <w:spacing w:after="195"/>
        <w:ind w:right="49" w:firstLine="840"/>
      </w:pPr>
      <w:r>
        <w:t>Her türlü yargılama giderinin davalı idare üzerinde bırakılmasına,</w:t>
      </w:r>
    </w:p>
    <w:p w14:paraId="5BB6D522" w14:textId="77777777" w:rsidR="00C9403D" w:rsidRDefault="00B070EE">
      <w:pPr>
        <w:numPr>
          <w:ilvl w:val="0"/>
          <w:numId w:val="2"/>
        </w:numPr>
        <w:spacing w:after="191"/>
        <w:ind w:right="49" w:firstLine="84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310D643" wp14:editId="57F8855E">
                <wp:simplePos x="0" y="0"/>
                <wp:positionH relativeFrom="page">
                  <wp:posOffset>3748278</wp:posOffset>
                </wp:positionH>
                <wp:positionV relativeFrom="page">
                  <wp:posOffset>10288651</wp:posOffset>
                </wp:positionV>
                <wp:extent cx="69215" cy="99949"/>
                <wp:effectExtent l="0" t="0" r="0" b="0"/>
                <wp:wrapTopAndBottom/>
                <wp:docPr id="14496" name="Group 14496"/>
                <wp:cNvGraphicFramePr/>
                <a:graphic xmlns:a="http://schemas.openxmlformats.org/drawingml/2006/main">
                  <a:graphicData uri="http://schemas.microsoft.com/office/word/2010/wordprocessingGroup">
                    <wpg:wgp>
                      <wpg:cNvGrpSpPr/>
                      <wpg:grpSpPr>
                        <a:xfrm>
                          <a:off x="0" y="0"/>
                          <a:ext cx="69215" cy="99949"/>
                          <a:chOff x="0" y="0"/>
                          <a:chExt cx="69215" cy="99949"/>
                        </a:xfrm>
                      </wpg:grpSpPr>
                      <wps:wsp>
                        <wps:cNvPr id="2857" name="Shape 2857"/>
                        <wps:cNvSpPr/>
                        <wps:spPr>
                          <a:xfrm>
                            <a:off x="0" y="25349"/>
                            <a:ext cx="27749" cy="50597"/>
                          </a:xfrm>
                          <a:custGeom>
                            <a:avLst/>
                            <a:gdLst/>
                            <a:ahLst/>
                            <a:cxnLst/>
                            <a:rect l="0" t="0" r="0" b="0"/>
                            <a:pathLst>
                              <a:path w="27749" h="50597">
                                <a:moveTo>
                                  <a:pt x="27749" y="0"/>
                                </a:moveTo>
                                <a:lnTo>
                                  <a:pt x="27749" y="16815"/>
                                </a:lnTo>
                                <a:lnTo>
                                  <a:pt x="12065" y="39422"/>
                                </a:lnTo>
                                <a:lnTo>
                                  <a:pt x="27749" y="39422"/>
                                </a:lnTo>
                                <a:lnTo>
                                  <a:pt x="27749" y="50597"/>
                                </a:lnTo>
                                <a:lnTo>
                                  <a:pt x="0" y="50597"/>
                                </a:lnTo>
                                <a:lnTo>
                                  <a:pt x="0" y="39422"/>
                                </a:lnTo>
                                <a:lnTo>
                                  <a:pt x="27749"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58" name="Shape 2858"/>
                        <wps:cNvSpPr/>
                        <wps:spPr>
                          <a:xfrm>
                            <a:off x="27749" y="0"/>
                            <a:ext cx="41465" cy="99949"/>
                          </a:xfrm>
                          <a:custGeom>
                            <a:avLst/>
                            <a:gdLst/>
                            <a:ahLst/>
                            <a:cxnLst/>
                            <a:rect l="0" t="0" r="0" b="0"/>
                            <a:pathLst>
                              <a:path w="41465" h="99949">
                                <a:moveTo>
                                  <a:pt x="17843" y="0"/>
                                </a:moveTo>
                                <a:lnTo>
                                  <a:pt x="27876" y="0"/>
                                </a:lnTo>
                                <a:lnTo>
                                  <a:pt x="27876" y="64770"/>
                                </a:lnTo>
                                <a:lnTo>
                                  <a:pt x="41465" y="64770"/>
                                </a:lnTo>
                                <a:lnTo>
                                  <a:pt x="41465" y="75946"/>
                                </a:lnTo>
                                <a:lnTo>
                                  <a:pt x="27876" y="75946"/>
                                </a:lnTo>
                                <a:lnTo>
                                  <a:pt x="27876" y="99949"/>
                                </a:lnTo>
                                <a:lnTo>
                                  <a:pt x="15684" y="99949"/>
                                </a:lnTo>
                                <a:lnTo>
                                  <a:pt x="15684" y="75946"/>
                                </a:lnTo>
                                <a:lnTo>
                                  <a:pt x="0" y="75946"/>
                                </a:lnTo>
                                <a:lnTo>
                                  <a:pt x="0" y="64770"/>
                                </a:lnTo>
                                <a:lnTo>
                                  <a:pt x="15684" y="64770"/>
                                </a:lnTo>
                                <a:lnTo>
                                  <a:pt x="15684" y="19558"/>
                                </a:lnTo>
                                <a:lnTo>
                                  <a:pt x="0" y="42164"/>
                                </a:lnTo>
                                <a:lnTo>
                                  <a:pt x="0" y="25349"/>
                                </a:lnTo>
                                <a:lnTo>
                                  <a:pt x="17843"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496" style="width:5.44998pt;height:7.87pt;position:absolute;mso-position-horizontal-relative:page;mso-position-horizontal:absolute;margin-left:295.14pt;mso-position-vertical-relative:page;margin-top:810.13pt;" coordsize="692,999">
                <v:shape id="Shape 2857" style="position:absolute;width:277;height:505;left:0;top:253;" coordsize="27749,50597" path="m27749,0l27749,16815l12065,39422l27749,39422l27749,50597l0,50597l0,39422l27749,0x">
                  <v:stroke weight="0pt" endcap="square" joinstyle="miter" miterlimit="10" on="false" color="#000000" opacity="0"/>
                  <v:fill on="true" color="#000000"/>
                </v:shape>
                <v:shape id="Shape 2858" style="position:absolute;width:414;height:999;left:277;top:0;" coordsize="41465,99949" path="m17843,0l27876,0l27876,64770l41465,64770l41465,75946l27876,75946l27876,99949l15684,99949l15684,75946l0,75946l0,64770l15684,64770l15684,19558l0,42164l0,25349l17843,0x">
                  <v:stroke weight="0pt" endcap="square" joinstyle="miter" miterlimit="10" on="false" color="#000000" opacity="0"/>
                  <v:fill on="true" color="#000000"/>
                </v:shape>
                <w10:wrap type="topAndBottom"/>
              </v:group>
            </w:pict>
          </mc:Fallback>
        </mc:AlternateContent>
      </w:r>
      <w:proofErr w:type="gramStart"/>
      <w:r>
        <w:t>Danıştay -</w:t>
      </w:r>
      <w:proofErr w:type="gramEnd"/>
      <w:r>
        <w:t xml:space="preserve"> Vergi Dava Daireleri Kurulu'nun 24.05.2023 tarihli ve 2023/1 Esas ve 2023/3 Karar sayılı kararı uyarınca talebimizin kısmen kabulü ve kısmen reddi yönünde karar verilmesi halinde idare karşısında pasif konumdaki huzurdaki davacıların tespit edilen değerin ne olacağı konusunda irade beyan etmeleri söz konusu edilemeyeceğinden, hakkaniyet ilkeleri gözetilerek Davacı aleyhine kısmî vekalet ücretine hükmedilmemesine</w:t>
      </w:r>
    </w:p>
    <w:p w14:paraId="101B537E" w14:textId="77777777" w:rsidR="00C9403D" w:rsidRDefault="00B070EE">
      <w:pPr>
        <w:spacing w:after="134" w:line="265" w:lineRule="auto"/>
        <w:ind w:left="10" w:right="13" w:hanging="10"/>
        <w:jc w:val="center"/>
      </w:pPr>
      <w:proofErr w:type="gramStart"/>
      <w:r>
        <w:t>karar</w:t>
      </w:r>
      <w:proofErr w:type="gramEnd"/>
      <w:r>
        <w:t xml:space="preserve"> verilmesini saygıyla asaleten ve vekaleten arz ve talep ederim.. </w:t>
      </w:r>
      <w:proofErr w:type="gramStart"/>
      <w:r>
        <w:t>.....</w:t>
      </w:r>
      <w:proofErr w:type="gramEnd"/>
      <w:r>
        <w:t>/09/2025</w:t>
      </w:r>
    </w:p>
    <w:p w14:paraId="035ECFF6" w14:textId="77777777" w:rsidR="00C9403D" w:rsidRDefault="00B070EE">
      <w:pPr>
        <w:spacing w:after="94" w:line="265" w:lineRule="auto"/>
        <w:ind w:left="10" w:right="553" w:hanging="10"/>
        <w:jc w:val="center"/>
      </w:pPr>
      <w:r>
        <w:t xml:space="preserve"> DAVACI </w:t>
      </w:r>
    </w:p>
    <w:p w14:paraId="675CB2E8" w14:textId="77777777" w:rsidR="00C9403D" w:rsidRDefault="00B070EE">
      <w:pPr>
        <w:spacing w:after="94" w:line="265" w:lineRule="auto"/>
        <w:ind w:left="10" w:right="466" w:hanging="10"/>
        <w:jc w:val="center"/>
      </w:pPr>
      <w:r>
        <w:t>................................. ................................</w:t>
      </w:r>
    </w:p>
    <w:p w14:paraId="6A48645E" w14:textId="77777777" w:rsidR="00C9403D" w:rsidRDefault="00B070EE">
      <w:pPr>
        <w:spacing w:after="94" w:line="265" w:lineRule="auto"/>
        <w:ind w:left="10" w:right="486" w:hanging="10"/>
        <w:jc w:val="center"/>
      </w:pPr>
      <w:r>
        <w:t>( TC Kimlik No. ……..)</w:t>
      </w:r>
    </w:p>
    <w:sectPr w:rsidR="00C9403D">
      <w:pgSz w:w="11906" w:h="16838"/>
      <w:pgMar w:top="874" w:right="939" w:bottom="886" w:left="1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44953"/>
    <w:multiLevelType w:val="hybridMultilevel"/>
    <w:tmpl w:val="7AB4D9AA"/>
    <w:lvl w:ilvl="0" w:tplc="0750D8A2">
      <w:start w:val="1"/>
      <w:numFmt w:val="bullet"/>
      <w:lvlText w:val="-"/>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BEB8DC">
      <w:start w:val="1"/>
      <w:numFmt w:val="bullet"/>
      <w:lvlText w:val="o"/>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7204B4">
      <w:start w:val="1"/>
      <w:numFmt w:val="bullet"/>
      <w:lvlText w:val="▪"/>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CA5D84">
      <w:start w:val="1"/>
      <w:numFmt w:val="bullet"/>
      <w:lvlText w:val="•"/>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2CEB96">
      <w:start w:val="1"/>
      <w:numFmt w:val="bullet"/>
      <w:lvlText w:val="o"/>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B80D86">
      <w:start w:val="1"/>
      <w:numFmt w:val="bullet"/>
      <w:lvlText w:val="▪"/>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CC157E">
      <w:start w:val="1"/>
      <w:numFmt w:val="bullet"/>
      <w:lvlText w:val="•"/>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56E3B8">
      <w:start w:val="1"/>
      <w:numFmt w:val="bullet"/>
      <w:lvlText w:val="o"/>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4AE464">
      <w:start w:val="1"/>
      <w:numFmt w:val="bullet"/>
      <w:lvlText w:val="▪"/>
      <w:lvlJc w:val="left"/>
      <w:pPr>
        <w:ind w:left="6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D25649C"/>
    <w:multiLevelType w:val="hybridMultilevel"/>
    <w:tmpl w:val="1CDECDD4"/>
    <w:lvl w:ilvl="0" w:tplc="EF3C56A8">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CEA7F6">
      <w:start w:val="1"/>
      <w:numFmt w:val="lowerLetter"/>
      <w:lvlText w:val="%2"/>
      <w:lvlJc w:val="left"/>
      <w:pPr>
        <w:ind w:left="1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32B82A">
      <w:start w:val="1"/>
      <w:numFmt w:val="lowerRoman"/>
      <w:lvlText w:val="%3"/>
      <w:lvlJc w:val="left"/>
      <w:pPr>
        <w:ind w:left="2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447042">
      <w:start w:val="1"/>
      <w:numFmt w:val="decimal"/>
      <w:lvlText w:val="%4"/>
      <w:lvlJc w:val="left"/>
      <w:pPr>
        <w:ind w:left="3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AA0408">
      <w:start w:val="1"/>
      <w:numFmt w:val="lowerLetter"/>
      <w:lvlText w:val="%5"/>
      <w:lvlJc w:val="left"/>
      <w:pPr>
        <w:ind w:left="3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743962">
      <w:start w:val="1"/>
      <w:numFmt w:val="lowerRoman"/>
      <w:lvlText w:val="%6"/>
      <w:lvlJc w:val="left"/>
      <w:pPr>
        <w:ind w:left="4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3EE03E">
      <w:start w:val="1"/>
      <w:numFmt w:val="decimal"/>
      <w:lvlText w:val="%7"/>
      <w:lvlJc w:val="left"/>
      <w:pPr>
        <w:ind w:left="5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D486B8">
      <w:start w:val="1"/>
      <w:numFmt w:val="lowerLetter"/>
      <w:lvlText w:val="%8"/>
      <w:lvlJc w:val="left"/>
      <w:pPr>
        <w:ind w:left="6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AA296C">
      <w:start w:val="1"/>
      <w:numFmt w:val="lowerRoman"/>
      <w:lvlText w:val="%9"/>
      <w:lvlJc w:val="left"/>
      <w:pPr>
        <w:ind w:left="6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03D"/>
    <w:rsid w:val="0012518A"/>
    <w:rsid w:val="00176D17"/>
    <w:rsid w:val="00B070EE"/>
    <w:rsid w:val="00C940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CDFE"/>
  <w15:docId w15:val="{70B5D4E1-BFDF-433C-96DE-E17E4DF8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1" w:line="250" w:lineRule="auto"/>
      <w:ind w:left="700" w:firstLine="420"/>
      <w:jc w:val="both"/>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1765</Words>
  <Characters>10065</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Kullanıcı</dc:creator>
  <cp:keywords/>
  <cp:lastModifiedBy>Fatih Fethi Aksoy</cp:lastModifiedBy>
  <cp:revision>2</cp:revision>
  <dcterms:created xsi:type="dcterms:W3CDTF">2025-08-31T19:17:00Z</dcterms:created>
  <dcterms:modified xsi:type="dcterms:W3CDTF">2025-08-31T19:17:00Z</dcterms:modified>
</cp:coreProperties>
</file>